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ED71" w14:textId="77777777" w:rsidR="0090500E" w:rsidRPr="0090500E" w:rsidRDefault="0090500E" w:rsidP="008F369E">
      <w:pPr>
        <w:jc w:val="center"/>
      </w:pPr>
    </w:p>
    <w:p w14:paraId="46B5F286" w14:textId="452619BE" w:rsidR="0090500E" w:rsidRDefault="00E6736B" w:rsidP="009050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4254F" wp14:editId="0CECB387">
                <wp:simplePos x="0" y="0"/>
                <wp:positionH relativeFrom="column">
                  <wp:posOffset>4891578</wp:posOffset>
                </wp:positionH>
                <wp:positionV relativeFrom="paragraph">
                  <wp:posOffset>158115</wp:posOffset>
                </wp:positionV>
                <wp:extent cx="1224501" cy="429371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501" cy="429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F1338" w14:textId="0E22CA5A" w:rsidR="00D225AC" w:rsidRPr="00D225AC" w:rsidRDefault="00D225AC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7C4FD1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34254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85.15pt;margin-top:12.45pt;width:96.4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" filled="f" stroked="f" strokeweight=".5pt">
                <v:textbox>
                  <w:txbxContent>
                    <w:p w14:paraId="30DF1338" w14:textId="0E22CA5A" w:rsidR="00D225AC" w:rsidRPr="00D225AC" w:rsidRDefault="00D225AC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7C4FD1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6EF02E01" w14:textId="5462789A" w:rsidR="00061857" w:rsidRDefault="00CB5D9C" w:rsidP="0090500E">
      <w:r>
        <w:rPr>
          <w:noProof/>
        </w:rPr>
        <w:drawing>
          <wp:anchor distT="0" distB="0" distL="114300" distR="114300" simplePos="0" relativeHeight="251661312" behindDoc="0" locked="0" layoutInCell="1" allowOverlap="1" wp14:anchorId="00603F28" wp14:editId="0687F096">
            <wp:simplePos x="0" y="0"/>
            <wp:positionH relativeFrom="margin">
              <wp:posOffset>6198870</wp:posOffset>
            </wp:positionH>
            <wp:positionV relativeFrom="margin">
              <wp:posOffset>1028065</wp:posOffset>
            </wp:positionV>
            <wp:extent cx="1439545" cy="2879725"/>
            <wp:effectExtent l="19050" t="19050" r="27305" b="15875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3FC655" wp14:editId="7ECF530D">
            <wp:simplePos x="0" y="0"/>
            <wp:positionH relativeFrom="margin">
              <wp:posOffset>85090</wp:posOffset>
            </wp:positionH>
            <wp:positionV relativeFrom="margin">
              <wp:posOffset>1024890</wp:posOffset>
            </wp:positionV>
            <wp:extent cx="5998210" cy="2879725"/>
            <wp:effectExtent l="19050" t="19050" r="21590" b="1587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79988" w14:textId="15246CC0" w:rsidR="00061857" w:rsidRDefault="00D74E86" w:rsidP="0090500E">
      <w:r>
        <w:rPr>
          <w:noProof/>
        </w:rPr>
        <w:drawing>
          <wp:anchor distT="0" distB="0" distL="114300" distR="114300" simplePos="0" relativeHeight="251662336" behindDoc="0" locked="0" layoutInCell="1" allowOverlap="1" wp14:anchorId="62A0D0A7" wp14:editId="6677ED8F">
            <wp:simplePos x="0" y="0"/>
            <wp:positionH relativeFrom="margin">
              <wp:posOffset>81915</wp:posOffset>
            </wp:positionH>
            <wp:positionV relativeFrom="margin">
              <wp:posOffset>4008120</wp:posOffset>
            </wp:positionV>
            <wp:extent cx="2915920" cy="3303270"/>
            <wp:effectExtent l="19050" t="19050" r="17780" b="1143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33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2106F" wp14:editId="31F2D026">
                <wp:simplePos x="0" y="0"/>
                <wp:positionH relativeFrom="page">
                  <wp:posOffset>3089189</wp:posOffset>
                </wp:positionH>
                <wp:positionV relativeFrom="paragraph">
                  <wp:posOffset>3160257</wp:posOffset>
                </wp:positionV>
                <wp:extent cx="4545210" cy="1235675"/>
                <wp:effectExtent l="19050" t="19050" r="27305" b="222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210" cy="123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6804" w:type="dxa"/>
                              <w:tblBorders>
                                <w:top w:val="single" w:sz="12" w:space="0" w:color="0F4B43"/>
                                <w:left w:val="single" w:sz="12" w:space="0" w:color="0F4B43"/>
                                <w:bottom w:val="single" w:sz="12" w:space="0" w:color="0F4B43"/>
                                <w:right w:val="single" w:sz="12" w:space="0" w:color="0F4B43"/>
                                <w:insideH w:val="single" w:sz="12" w:space="0" w:color="0F4B43"/>
                                <w:insideV w:val="single" w:sz="12" w:space="0" w:color="0F4B4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  <w:gridCol w:w="1134"/>
                            </w:tblGrid>
                            <w:tr w:rsidR="00735334" w:rsidRPr="00BD64EB" w14:paraId="3B9B9FAA" w14:textId="77777777" w:rsidTr="00ED6AF7">
                              <w:tc>
                                <w:tcPr>
                                  <w:tcW w:w="68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0F4B43"/>
                                    <w:right w:val="nil"/>
                                  </w:tcBorders>
                                  <w:vAlign w:val="center"/>
                                </w:tcPr>
                                <w:p w14:paraId="776011E6" w14:textId="77777777" w:rsidR="00735334" w:rsidRPr="00BD64EB" w:rsidRDefault="00735334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1044E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TIPO DE RESPUESTA</w:t>
                                  </w:r>
                                </w:p>
                              </w:tc>
                            </w:tr>
                            <w:tr w:rsidR="00735334" w:rsidRPr="00BD64EB" w14:paraId="0AD61F7F" w14:textId="77777777" w:rsidTr="00ED6AF7">
                              <w:tc>
                                <w:tcPr>
                                  <w:tcW w:w="5670" w:type="dxa"/>
                                  <w:tcBorders>
                                    <w:top w:val="single" w:sz="12" w:space="0" w:color="0F4B43"/>
                                  </w:tcBorders>
                                </w:tcPr>
                                <w:p w14:paraId="5C490104" w14:textId="77777777" w:rsidR="00735334" w:rsidRPr="00BD64EB" w:rsidRDefault="00735334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Entrega de información en medio electrónico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0F4B43"/>
                                  </w:tcBorders>
                                </w:tcPr>
                                <w:p w14:paraId="77B8E27F" w14:textId="4DCACDAF" w:rsidR="00735334" w:rsidRPr="00BD64EB" w:rsidRDefault="00B1044E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735334" w:rsidRPr="00BD64EB" w14:paraId="29D7617D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5382FA44" w14:textId="77777777" w:rsidR="00735334" w:rsidRPr="00BD64EB" w:rsidRDefault="00735334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La información está disponible públicamente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2C7E635" w14:textId="065868D0" w:rsidR="00735334" w:rsidRPr="00BD64EB" w:rsidRDefault="00B1044E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35334" w:rsidRPr="00BD64EB" w14:paraId="6527CFC7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46C3B0E8" w14:textId="77777777" w:rsidR="00735334" w:rsidRPr="00BD64EB" w:rsidRDefault="00735334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La solicitud no corresponde al marco de la Ley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C668C78" w14:textId="54868519" w:rsidR="00735334" w:rsidRPr="00BD64EB" w:rsidRDefault="00B1044E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35334" w:rsidRPr="00BD64EB" w14:paraId="7CCA4CE3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435AEC9F" w14:textId="77777777" w:rsidR="00735334" w:rsidRPr="00BD64EB" w:rsidRDefault="00735334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No es de competencia de la unidad de enlace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23455BF" w14:textId="0DE6849C" w:rsidR="00735334" w:rsidRPr="00BD64EB" w:rsidRDefault="00B1044E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9F0225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35334" w:rsidRPr="00BD64EB" w14:paraId="275C8AB8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77F48BC2" w14:textId="77777777" w:rsidR="00735334" w:rsidRPr="00BD64EB" w:rsidRDefault="00735334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No se dará trámite a la solicitud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BA295DF" w14:textId="6C5B6DB7" w:rsidR="00735334" w:rsidRPr="00BD64EB" w:rsidRDefault="00B1044E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5B010936" w14:textId="77777777" w:rsidR="00B1739C" w:rsidRDefault="00B17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2106F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margin-left:243.25pt;margin-top:248.85pt;width:357.9pt;height:97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" fillcolor="white [3201]" strokecolor="#c28e48" strokeweight="3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6804" w:type="dxa"/>
                        <w:tblBorders>
                          <w:top w:val="single" w:sz="12" w:space="0" w:color="0F4B43"/>
                          <w:left w:val="single" w:sz="12" w:space="0" w:color="0F4B43"/>
                          <w:bottom w:val="single" w:sz="12" w:space="0" w:color="0F4B43"/>
                          <w:right w:val="single" w:sz="12" w:space="0" w:color="0F4B43"/>
                          <w:insideH w:val="single" w:sz="12" w:space="0" w:color="0F4B43"/>
                          <w:insideV w:val="single" w:sz="12" w:space="0" w:color="0F4B4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  <w:gridCol w:w="1134"/>
                      </w:tblGrid>
                      <w:tr w:rsidR="00735334" w:rsidRPr="00BD64EB" w14:paraId="3B9B9FAA" w14:textId="77777777" w:rsidTr="00ED6AF7">
                        <w:tc>
                          <w:tcPr>
                            <w:tcW w:w="6804" w:type="dxa"/>
                            <w:gridSpan w:val="2"/>
                            <w:tcBorders>
                              <w:top w:val="nil"/>
                              <w:left w:val="nil"/>
                              <w:bottom w:val="single" w:sz="12" w:space="0" w:color="0F4B43"/>
                              <w:right w:val="nil"/>
                            </w:tcBorders>
                            <w:vAlign w:val="center"/>
                          </w:tcPr>
                          <w:p w14:paraId="776011E6" w14:textId="77777777" w:rsidR="00735334" w:rsidRPr="00BD64EB" w:rsidRDefault="00735334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1044E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TIPO DE RESPUESTA</w:t>
                            </w:r>
                          </w:p>
                        </w:tc>
                      </w:tr>
                      <w:tr w:rsidR="00735334" w:rsidRPr="00BD64EB" w14:paraId="0AD61F7F" w14:textId="77777777" w:rsidTr="00ED6AF7">
                        <w:tc>
                          <w:tcPr>
                            <w:tcW w:w="5670" w:type="dxa"/>
                            <w:tcBorders>
                              <w:top w:val="single" w:sz="12" w:space="0" w:color="0F4B43"/>
                            </w:tcBorders>
                          </w:tcPr>
                          <w:p w14:paraId="5C490104" w14:textId="77777777" w:rsidR="00735334" w:rsidRPr="00BD64EB" w:rsidRDefault="00735334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Entrega de información en medio electrónico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0F4B43"/>
                            </w:tcBorders>
                          </w:tcPr>
                          <w:p w14:paraId="77B8E27F" w14:textId="4DCACDAF" w:rsidR="00735334" w:rsidRPr="00BD64EB" w:rsidRDefault="00B1044E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70</w:t>
                            </w:r>
                          </w:p>
                        </w:tc>
                      </w:tr>
                      <w:tr w:rsidR="00735334" w:rsidRPr="00BD64EB" w14:paraId="29D7617D" w14:textId="77777777" w:rsidTr="00ED6AF7">
                        <w:tc>
                          <w:tcPr>
                            <w:tcW w:w="5670" w:type="dxa"/>
                          </w:tcPr>
                          <w:p w14:paraId="5382FA44" w14:textId="77777777" w:rsidR="00735334" w:rsidRPr="00BD64EB" w:rsidRDefault="00735334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La información está disponible públicamente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2C7E635" w14:textId="065868D0" w:rsidR="00735334" w:rsidRPr="00BD64EB" w:rsidRDefault="00B1044E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735334" w:rsidRPr="00BD64EB" w14:paraId="6527CFC7" w14:textId="77777777" w:rsidTr="00ED6AF7">
                        <w:tc>
                          <w:tcPr>
                            <w:tcW w:w="5670" w:type="dxa"/>
                          </w:tcPr>
                          <w:p w14:paraId="46C3B0E8" w14:textId="77777777" w:rsidR="00735334" w:rsidRPr="00BD64EB" w:rsidRDefault="00735334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La solicitud no corresponde al marco de la Ley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C668C78" w14:textId="54868519" w:rsidR="00735334" w:rsidRPr="00BD64EB" w:rsidRDefault="00B1044E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735334" w:rsidRPr="00BD64EB" w14:paraId="7CCA4CE3" w14:textId="77777777" w:rsidTr="00ED6AF7">
                        <w:tc>
                          <w:tcPr>
                            <w:tcW w:w="5670" w:type="dxa"/>
                          </w:tcPr>
                          <w:p w14:paraId="435AEC9F" w14:textId="77777777" w:rsidR="00735334" w:rsidRPr="00BD64EB" w:rsidRDefault="00735334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No es de competencia de la unidad de enlace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23455BF" w14:textId="0DE6849C" w:rsidR="00735334" w:rsidRPr="00BD64EB" w:rsidRDefault="00B1044E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</w:t>
                            </w:r>
                            <w:r w:rsidR="009F0225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735334" w:rsidRPr="00BD64EB" w14:paraId="275C8AB8" w14:textId="77777777" w:rsidTr="00ED6AF7">
                        <w:tc>
                          <w:tcPr>
                            <w:tcW w:w="5670" w:type="dxa"/>
                          </w:tcPr>
                          <w:p w14:paraId="77F48BC2" w14:textId="77777777" w:rsidR="00735334" w:rsidRPr="00BD64EB" w:rsidRDefault="00735334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No se dará trámite a la solicitud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BA295DF" w14:textId="6C5B6DB7" w:rsidR="00735334" w:rsidRPr="00BD64EB" w:rsidRDefault="00B1044E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5B010936" w14:textId="77777777" w:rsidR="00B1739C" w:rsidRDefault="00B1739C"/>
                  </w:txbxContent>
                </v:textbox>
                <w10:wrap anchorx="page"/>
              </v:shape>
            </w:pict>
          </mc:Fallback>
        </mc:AlternateContent>
      </w:r>
    </w:p>
    <w:p w14:paraId="4FA1086A" w14:textId="367CA8EC" w:rsidR="00061857" w:rsidRDefault="00061857" w:rsidP="0090500E"/>
    <w:p w14:paraId="199B9291" w14:textId="20BF34AA" w:rsidR="00061857" w:rsidRPr="0090500E" w:rsidRDefault="00D74E86" w:rsidP="0090500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00271" wp14:editId="5313E3B2">
                <wp:simplePos x="0" y="0"/>
                <wp:positionH relativeFrom="page">
                  <wp:posOffset>5184123</wp:posOffset>
                </wp:positionH>
                <wp:positionV relativeFrom="paragraph">
                  <wp:posOffset>205997</wp:posOffset>
                </wp:positionV>
                <wp:extent cx="539750" cy="4680000"/>
                <wp:effectExtent l="6350" t="0" r="19050" b="19050"/>
                <wp:wrapNone/>
                <wp:docPr id="11" name="Rectángulo: esquinas superiore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39750" cy="4680000"/>
                        </a:xfrm>
                        <a:prstGeom prst="round2SameRect">
                          <a:avLst/>
                        </a:prstGeom>
                        <a:solidFill>
                          <a:srgbClr val="C28E48"/>
                        </a:solidFill>
                        <a:ln>
                          <a:solidFill>
                            <a:srgbClr val="C28E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C417" id="Rectángulo: esquinas superiores redondeadas 11" o:spid="_x0000_s1026" style="position:absolute;margin-left:408.2pt;margin-top:16.2pt;width:42.5pt;height:368.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39750,46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" path="m89960,l449790,v49684,,89960,40276,89960,89960l539750,4680000r,l,4680000r,l,89960c,40276,40276,,89960,xe" fillcolor="#c28e48" strokecolor="#c28e48" strokeweight="1pt">
                <v:stroke joinstyle="miter"/>
                <v:path arrowok="t" o:connecttype="custom" o:connectlocs="89960,0;449790,0;539750,89960;539750,4680000;539750,4680000;0,4680000;0,4680000;0,89960;89960,0" o:connectangles="0,0,0,0,0,0,0,0,0"/>
                <w10:wrap anchorx="page"/>
              </v:shape>
            </w:pict>
          </mc:Fallback>
        </mc:AlternateContent>
      </w:r>
    </w:p>
    <w:p w14:paraId="5A901863" w14:textId="1D9A96F4" w:rsidR="00BD64EB" w:rsidRDefault="00BD64EB" w:rsidP="0090500E"/>
    <w:p w14:paraId="2FF46F7E" w14:textId="12DC9B57" w:rsidR="00BD64EB" w:rsidRPr="00B1739C" w:rsidRDefault="00ED5AB9" w:rsidP="00D74E8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067394" wp14:editId="735571EB">
                <wp:simplePos x="0" y="0"/>
                <wp:positionH relativeFrom="column">
                  <wp:posOffset>3389893</wp:posOffset>
                </wp:positionH>
                <wp:positionV relativeFrom="paragraph">
                  <wp:posOffset>2485235</wp:posOffset>
                </wp:positionV>
                <wp:extent cx="4217969" cy="1388745"/>
                <wp:effectExtent l="0" t="0" r="0" b="190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969" cy="1388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EECB3" w14:textId="77777777" w:rsidR="00ED5AB9" w:rsidRPr="00ED5AB9" w:rsidRDefault="00ED5AB9" w:rsidP="00ED5AB9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color w:val="0F4B43"/>
                                <w:sz w:val="10"/>
                                <w:szCs w:val="10"/>
                              </w:rPr>
                            </w:pPr>
                          </w:p>
                          <w:p w14:paraId="17A6789B" w14:textId="454F91F3" w:rsidR="00ED5AB9" w:rsidRPr="008F369E" w:rsidRDefault="008F369E" w:rsidP="00ED5AB9">
                            <w:pPr>
                              <w:jc w:val="center"/>
                              <w:rPr>
                                <w:rFonts w:ascii="Montserrat" w:hAnsi="Montserrat"/>
                                <w:color w:val="0F4B43"/>
                                <w:szCs w:val="18"/>
                              </w:rPr>
                            </w:pPr>
                            <w:r w:rsidRPr="008F369E">
                              <w:rPr>
                                <w:rFonts w:ascii="Montserrat" w:hAnsi="Montserrat"/>
                                <w:color w:val="0F4B43"/>
                                <w:szCs w:val="18"/>
                              </w:rPr>
                              <w:t xml:space="preserve">EL 2020 por motivo de la contingencia de COVID -19 </w:t>
                            </w:r>
                            <w:r w:rsidRPr="008F369E">
                              <w:rPr>
                                <w:rFonts w:ascii="Montserrat" w:hAnsi="Montserrat"/>
                                <w:b/>
                                <w:color w:val="0F4B43"/>
                                <w:szCs w:val="18"/>
                              </w:rPr>
                              <w:t>únicamente se llevó a cabo la primera sesión ordinaria</w:t>
                            </w:r>
                            <w:r w:rsidRPr="008F369E">
                              <w:rPr>
                                <w:rFonts w:ascii="Montserrat" w:hAnsi="Montserrat"/>
                                <w:color w:val="0F4B43"/>
                                <w:szCs w:val="18"/>
                              </w:rPr>
                              <w:t xml:space="preserve"> del CT el 1 de diciembre de ese año, de manera virtual</w:t>
                            </w:r>
                            <w:r w:rsidR="00ED5AB9">
                              <w:rPr>
                                <w:rFonts w:ascii="Montserrat" w:hAnsi="Montserrat"/>
                                <w:color w:val="0F4B43"/>
                                <w:szCs w:val="18"/>
                              </w:rPr>
                              <w:t>, durante la cual, s</w:t>
                            </w:r>
                            <w:r w:rsidR="00ED5AB9" w:rsidRPr="00ED5AB9">
                              <w:rPr>
                                <w:rFonts w:ascii="Montserrat" w:hAnsi="Montserrat"/>
                                <w:color w:val="0F4B43"/>
                                <w:szCs w:val="18"/>
                              </w:rPr>
                              <w:t xml:space="preserve">e </w:t>
                            </w:r>
                            <w:r w:rsidR="00ED5AB9">
                              <w:rPr>
                                <w:rFonts w:ascii="Montserrat" w:hAnsi="Montserrat"/>
                                <w:color w:val="0F4B43"/>
                                <w:szCs w:val="18"/>
                              </w:rPr>
                              <w:t>instrumentó</w:t>
                            </w:r>
                            <w:r w:rsidR="00ED5AB9" w:rsidRPr="00ED5AB9">
                              <w:rPr>
                                <w:rFonts w:ascii="Montserrat" w:hAnsi="Montserrat"/>
                                <w:color w:val="0F4B43"/>
                                <w:szCs w:val="18"/>
                              </w:rPr>
                              <w:t xml:space="preserve"> el acta de instalación del Comité de Transparencia de</w:t>
                            </w:r>
                            <w:r w:rsidR="00ED5AB9">
                              <w:rPr>
                                <w:rFonts w:ascii="Montserrat" w:hAnsi="Montserrat"/>
                                <w:color w:val="0F4B43"/>
                                <w:szCs w:val="18"/>
                              </w:rPr>
                              <w:t xml:space="preserve"> </w:t>
                            </w:r>
                            <w:r w:rsidR="00ED5AB9" w:rsidRPr="00ED5AB9">
                              <w:rPr>
                                <w:rFonts w:ascii="Montserrat" w:hAnsi="Montserrat"/>
                                <w:color w:val="0F4B43"/>
                                <w:szCs w:val="18"/>
                              </w:rPr>
                              <w:t>la AEM</w:t>
                            </w:r>
                            <w:r w:rsidR="00ED5AB9">
                              <w:rPr>
                                <w:rFonts w:ascii="Montserrat" w:hAnsi="Montserrat"/>
                                <w:color w:val="0F4B43"/>
                                <w:szCs w:val="18"/>
                              </w:rPr>
                              <w:t xml:space="preserve">, </w:t>
                            </w:r>
                            <w:r w:rsidR="00ED5AB9" w:rsidRPr="00ED5AB9">
                              <w:rPr>
                                <w:rFonts w:ascii="Montserrat" w:hAnsi="Montserrat"/>
                                <w:color w:val="0F4B43"/>
                                <w:szCs w:val="18"/>
                              </w:rPr>
                              <w:t>mediante el cual se actualizó el Comité de Información de la AEM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7394" id="Cuadro de texto 6" o:spid="_x0000_s1028" type="#_x0000_t202" style="position:absolute;margin-left:266.9pt;margin-top:195.7pt;width:332.1pt;height:10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" filled="f" stroked="f" strokeweight=".5pt">
                <v:textbox>
                  <w:txbxContent>
                    <w:p w14:paraId="189EECB3" w14:textId="77777777" w:rsidR="00ED5AB9" w:rsidRPr="00ED5AB9" w:rsidRDefault="00ED5AB9" w:rsidP="00ED5AB9">
                      <w:pPr>
                        <w:spacing w:after="0"/>
                        <w:jc w:val="center"/>
                        <w:rPr>
                          <w:rFonts w:ascii="Montserrat" w:hAnsi="Montserrat"/>
                          <w:color w:val="0F4B43"/>
                          <w:sz w:val="10"/>
                          <w:szCs w:val="10"/>
                        </w:rPr>
                      </w:pPr>
                    </w:p>
                    <w:p w14:paraId="17A6789B" w14:textId="454F91F3" w:rsidR="00ED5AB9" w:rsidRPr="008F369E" w:rsidRDefault="008F369E" w:rsidP="00ED5AB9">
                      <w:pPr>
                        <w:jc w:val="center"/>
                        <w:rPr>
                          <w:rFonts w:ascii="Montserrat" w:hAnsi="Montserrat"/>
                          <w:color w:val="0F4B43"/>
                          <w:szCs w:val="18"/>
                        </w:rPr>
                      </w:pPr>
                      <w:r w:rsidRPr="008F369E">
                        <w:rPr>
                          <w:rFonts w:ascii="Montserrat" w:hAnsi="Montserrat"/>
                          <w:color w:val="0F4B43"/>
                          <w:szCs w:val="18"/>
                        </w:rPr>
                        <w:t xml:space="preserve">EL 2020 por motivo de la contingencia de COVID -19 </w:t>
                      </w:r>
                      <w:r w:rsidRPr="008F369E">
                        <w:rPr>
                          <w:rFonts w:ascii="Montserrat" w:hAnsi="Montserrat"/>
                          <w:b/>
                          <w:color w:val="0F4B43"/>
                          <w:szCs w:val="18"/>
                        </w:rPr>
                        <w:t>únicamente se llevó a cabo la primera sesión ordinaria</w:t>
                      </w:r>
                      <w:r w:rsidRPr="008F369E">
                        <w:rPr>
                          <w:rFonts w:ascii="Montserrat" w:hAnsi="Montserrat"/>
                          <w:color w:val="0F4B43"/>
                          <w:szCs w:val="18"/>
                        </w:rPr>
                        <w:t xml:space="preserve"> del CT el 1 de diciembre de ese año, de manera virtual</w:t>
                      </w:r>
                      <w:r w:rsidR="00ED5AB9">
                        <w:rPr>
                          <w:rFonts w:ascii="Montserrat" w:hAnsi="Montserrat"/>
                          <w:color w:val="0F4B43"/>
                          <w:szCs w:val="18"/>
                        </w:rPr>
                        <w:t>, durante la cual, s</w:t>
                      </w:r>
                      <w:r w:rsidR="00ED5AB9" w:rsidRPr="00ED5AB9">
                        <w:rPr>
                          <w:rFonts w:ascii="Montserrat" w:hAnsi="Montserrat"/>
                          <w:color w:val="0F4B43"/>
                          <w:szCs w:val="18"/>
                        </w:rPr>
                        <w:t xml:space="preserve">e </w:t>
                      </w:r>
                      <w:r w:rsidR="00ED5AB9">
                        <w:rPr>
                          <w:rFonts w:ascii="Montserrat" w:hAnsi="Montserrat"/>
                          <w:color w:val="0F4B43"/>
                          <w:szCs w:val="18"/>
                        </w:rPr>
                        <w:t>instrumentó</w:t>
                      </w:r>
                      <w:r w:rsidR="00ED5AB9" w:rsidRPr="00ED5AB9">
                        <w:rPr>
                          <w:rFonts w:ascii="Montserrat" w:hAnsi="Montserrat"/>
                          <w:color w:val="0F4B43"/>
                          <w:szCs w:val="18"/>
                        </w:rPr>
                        <w:t xml:space="preserve"> el acta de instalación del Comité de Transparencia de</w:t>
                      </w:r>
                      <w:r w:rsidR="00ED5AB9">
                        <w:rPr>
                          <w:rFonts w:ascii="Montserrat" w:hAnsi="Montserrat"/>
                          <w:color w:val="0F4B43"/>
                          <w:szCs w:val="18"/>
                        </w:rPr>
                        <w:t xml:space="preserve"> </w:t>
                      </w:r>
                      <w:r w:rsidR="00ED5AB9" w:rsidRPr="00ED5AB9">
                        <w:rPr>
                          <w:rFonts w:ascii="Montserrat" w:hAnsi="Montserrat"/>
                          <w:color w:val="0F4B43"/>
                          <w:szCs w:val="18"/>
                        </w:rPr>
                        <w:t>la AEM</w:t>
                      </w:r>
                      <w:r w:rsidR="00ED5AB9">
                        <w:rPr>
                          <w:rFonts w:ascii="Montserrat" w:hAnsi="Montserrat"/>
                          <w:color w:val="0F4B43"/>
                          <w:szCs w:val="18"/>
                        </w:rPr>
                        <w:t xml:space="preserve">, </w:t>
                      </w:r>
                      <w:r w:rsidR="00ED5AB9" w:rsidRPr="00ED5AB9">
                        <w:rPr>
                          <w:rFonts w:ascii="Montserrat" w:hAnsi="Montserrat"/>
                          <w:color w:val="0F4B43"/>
                          <w:szCs w:val="18"/>
                        </w:rPr>
                        <w:t>mediante el cual se actualizó el Comité de Información de la AEM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A3D57" wp14:editId="069DF498">
                <wp:simplePos x="0" y="0"/>
                <wp:positionH relativeFrom="column">
                  <wp:posOffset>94891</wp:posOffset>
                </wp:positionH>
                <wp:positionV relativeFrom="paragraph">
                  <wp:posOffset>2381813</wp:posOffset>
                </wp:positionV>
                <wp:extent cx="7577706" cy="1572895"/>
                <wp:effectExtent l="19050" t="19050" r="23495" b="2730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7706" cy="157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4820" w:type="dxa"/>
                              <w:tblBorders>
                                <w:top w:val="single" w:sz="12" w:space="0" w:color="0F4B43"/>
                                <w:left w:val="single" w:sz="12" w:space="0" w:color="0F4B43"/>
                                <w:bottom w:val="single" w:sz="12" w:space="0" w:color="0F4B43"/>
                                <w:right w:val="single" w:sz="12" w:space="0" w:color="0F4B43"/>
                                <w:insideH w:val="single" w:sz="12" w:space="0" w:color="0F4B43"/>
                                <w:insideV w:val="single" w:sz="12" w:space="0" w:color="0F4B43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5"/>
                              <w:gridCol w:w="425"/>
                            </w:tblGrid>
                            <w:tr w:rsidR="008F369E" w:rsidRPr="00BD64EB" w14:paraId="5F5F5295" w14:textId="77777777" w:rsidTr="008F369E">
                              <w:tc>
                                <w:tcPr>
                                  <w:tcW w:w="4395" w:type="dxa"/>
                                  <w:tcBorders>
                                    <w:top w:val="nil"/>
                                    <w:left w:val="nil"/>
                                    <w:bottom w:val="single" w:sz="12" w:space="0" w:color="0F4B43"/>
                                    <w:right w:val="single" w:sz="12" w:space="0" w:color="0F4B43"/>
                                  </w:tcBorders>
                                  <w:vAlign w:val="center"/>
                                </w:tcPr>
                                <w:p w14:paraId="04D4ECE7" w14:textId="724E1E2A" w:rsidR="008F369E" w:rsidRPr="00BD64EB" w:rsidRDefault="008F369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 xml:space="preserve">TIPO DE 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ANALISIS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0F4B43"/>
                                  </w:tcBorders>
                                </w:tcPr>
                                <w:p w14:paraId="77911615" w14:textId="77777777" w:rsidR="008F369E" w:rsidRPr="00BD64EB" w:rsidRDefault="008F369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F369E" w:rsidRPr="00BD64EB" w14:paraId="3BCAB713" w14:textId="77777777" w:rsidTr="008F369E">
                              <w:tc>
                                <w:tcPr>
                                  <w:tcW w:w="4395" w:type="dxa"/>
                                  <w:tcBorders>
                                    <w:top w:val="single" w:sz="12" w:space="0" w:color="0F4B43"/>
                                  </w:tcBorders>
                                </w:tcPr>
                                <w:p w14:paraId="66F009F3" w14:textId="77777777" w:rsidR="008F369E" w:rsidRPr="00BD64EB" w:rsidRDefault="008F369E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Obligaciones de Transparencia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1BA97BB" w14:textId="77777777" w:rsidR="008F369E" w:rsidRPr="00BD64EB" w:rsidRDefault="008F369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8F369E" w:rsidRPr="00BD64EB" w14:paraId="3C9CE3D5" w14:textId="77777777" w:rsidTr="008F369E">
                              <w:tc>
                                <w:tcPr>
                                  <w:tcW w:w="4395" w:type="dxa"/>
                                </w:tcPr>
                                <w:p w14:paraId="6ADE323C" w14:textId="77777777" w:rsidR="008F369E" w:rsidRPr="00BD64EB" w:rsidRDefault="008F369E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Actividades de la Unidad de Transparencia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93A1BEF" w14:textId="77777777" w:rsidR="008F369E" w:rsidRPr="00BD64EB" w:rsidRDefault="008F369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8F369E" w:rsidRPr="00BD64EB" w14:paraId="1EE5A98B" w14:textId="77777777" w:rsidTr="008F369E">
                              <w:tc>
                                <w:tcPr>
                                  <w:tcW w:w="4395" w:type="dxa"/>
                                </w:tcPr>
                                <w:p w14:paraId="69DD46A1" w14:textId="1B249FE5" w:rsidR="008F369E" w:rsidRPr="00BD64EB" w:rsidRDefault="008F369E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Actividades del Comité de Transparencia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8EB900A" w14:textId="148B8C2B" w:rsidR="008F369E" w:rsidRPr="00BD64EB" w:rsidRDefault="008F369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8F369E" w:rsidRPr="00BD64EB" w14:paraId="5DC78254" w14:textId="77777777" w:rsidTr="008F369E">
                              <w:tc>
                                <w:tcPr>
                                  <w:tcW w:w="4395" w:type="dxa"/>
                                </w:tcPr>
                                <w:p w14:paraId="6BA60D9A" w14:textId="2C5507F7" w:rsidR="008F369E" w:rsidRPr="00BD64EB" w:rsidRDefault="008F369E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Recurso de Revisión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C64B5CE" w14:textId="01B3BCD6" w:rsidR="008F369E" w:rsidRPr="00BD64EB" w:rsidRDefault="008F369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8F369E" w:rsidRPr="00BD64EB" w14:paraId="467FD2F7" w14:textId="77777777" w:rsidTr="008F369E">
                              <w:tc>
                                <w:tcPr>
                                  <w:tcW w:w="4395" w:type="dxa"/>
                                </w:tcPr>
                                <w:p w14:paraId="49DFC900" w14:textId="7075371A" w:rsidR="008F369E" w:rsidRDefault="008F369E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Solicitudes de Información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92EE1D6" w14:textId="0E2A1D20" w:rsidR="008F369E" w:rsidRPr="00BD64EB" w:rsidRDefault="008F369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8F369E" w:rsidRPr="00BD64EB" w14:paraId="7F4D46B8" w14:textId="77777777" w:rsidTr="008F369E">
                              <w:tc>
                                <w:tcPr>
                                  <w:tcW w:w="4395" w:type="dxa"/>
                                </w:tcPr>
                                <w:p w14:paraId="30CD398E" w14:textId="115CBD1A" w:rsidR="008F369E" w:rsidRDefault="008F369E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Verificación Vinculante 2020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C25BEAC" w14:textId="2DCF3868" w:rsidR="008F369E" w:rsidRPr="00BD64EB" w:rsidRDefault="008F369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14:paraId="529F0910" w14:textId="77777777" w:rsidR="00D74E86" w:rsidRDefault="00D74E86" w:rsidP="00D7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3D57" id="Cuadro de texto 14" o:spid="_x0000_s1029" type="#_x0000_t202" style="position:absolute;margin-left:7.45pt;margin-top:187.55pt;width:596.65pt;height:12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" fillcolor="white [3201]" strokecolor="#c28e48" strokeweight="3pt">
                <v:textbox>
                  <w:txbxContent>
                    <w:tbl>
                      <w:tblPr>
                        <w:tblStyle w:val="Tablaconcuadrcula"/>
                        <w:tblW w:w="4820" w:type="dxa"/>
                        <w:tblBorders>
                          <w:top w:val="single" w:sz="12" w:space="0" w:color="0F4B43"/>
                          <w:left w:val="single" w:sz="12" w:space="0" w:color="0F4B43"/>
                          <w:bottom w:val="single" w:sz="12" w:space="0" w:color="0F4B43"/>
                          <w:right w:val="single" w:sz="12" w:space="0" w:color="0F4B43"/>
                          <w:insideH w:val="single" w:sz="12" w:space="0" w:color="0F4B43"/>
                          <w:insideV w:val="single" w:sz="12" w:space="0" w:color="0F4B43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95"/>
                        <w:gridCol w:w="425"/>
                      </w:tblGrid>
                      <w:tr w:rsidR="008F369E" w:rsidRPr="00BD64EB" w14:paraId="5F5F5295" w14:textId="77777777" w:rsidTr="008F369E">
                        <w:tc>
                          <w:tcPr>
                            <w:tcW w:w="4395" w:type="dxa"/>
                            <w:tcBorders>
                              <w:top w:val="nil"/>
                              <w:left w:val="nil"/>
                              <w:bottom w:val="single" w:sz="12" w:space="0" w:color="0F4B43"/>
                              <w:right w:val="single" w:sz="12" w:space="0" w:color="0F4B43"/>
                            </w:tcBorders>
                            <w:vAlign w:val="center"/>
                          </w:tcPr>
                          <w:p w14:paraId="04D4ECE7" w14:textId="724E1E2A" w:rsidR="008F369E" w:rsidRPr="00BD64EB" w:rsidRDefault="008F369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 xml:space="preserve">TIPO DE 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ANALISIS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12" w:space="0" w:color="0F4B43"/>
                            </w:tcBorders>
                          </w:tcPr>
                          <w:p w14:paraId="77911615" w14:textId="77777777" w:rsidR="008F369E" w:rsidRPr="00BD64EB" w:rsidRDefault="008F369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8F369E" w:rsidRPr="00BD64EB" w14:paraId="3BCAB713" w14:textId="77777777" w:rsidTr="008F369E">
                        <w:tc>
                          <w:tcPr>
                            <w:tcW w:w="4395" w:type="dxa"/>
                            <w:tcBorders>
                              <w:top w:val="single" w:sz="12" w:space="0" w:color="0F4B43"/>
                            </w:tcBorders>
                          </w:tcPr>
                          <w:p w14:paraId="66F009F3" w14:textId="77777777" w:rsidR="008F369E" w:rsidRPr="00BD64EB" w:rsidRDefault="008F369E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Obligaciones de Transparencia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21BA97BB" w14:textId="77777777" w:rsidR="008F369E" w:rsidRPr="00BD64EB" w:rsidRDefault="008F369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</w:tr>
                      <w:tr w:rsidR="008F369E" w:rsidRPr="00BD64EB" w14:paraId="3C9CE3D5" w14:textId="77777777" w:rsidTr="008F369E">
                        <w:tc>
                          <w:tcPr>
                            <w:tcW w:w="4395" w:type="dxa"/>
                          </w:tcPr>
                          <w:p w14:paraId="6ADE323C" w14:textId="77777777" w:rsidR="008F369E" w:rsidRPr="00BD64EB" w:rsidRDefault="008F369E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Actividades de la Unidad de Transparencia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693A1BEF" w14:textId="77777777" w:rsidR="008F369E" w:rsidRPr="00BD64EB" w:rsidRDefault="008F369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</w:tr>
                      <w:tr w:rsidR="008F369E" w:rsidRPr="00BD64EB" w14:paraId="1EE5A98B" w14:textId="77777777" w:rsidTr="008F369E">
                        <w:tc>
                          <w:tcPr>
                            <w:tcW w:w="4395" w:type="dxa"/>
                          </w:tcPr>
                          <w:p w14:paraId="69DD46A1" w14:textId="1B249FE5" w:rsidR="008F369E" w:rsidRPr="00BD64EB" w:rsidRDefault="008F369E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Actividades del Comité de Transparencia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68EB900A" w14:textId="148B8C2B" w:rsidR="008F369E" w:rsidRPr="00BD64EB" w:rsidRDefault="008F369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</w:tr>
                      <w:tr w:rsidR="008F369E" w:rsidRPr="00BD64EB" w14:paraId="5DC78254" w14:textId="77777777" w:rsidTr="008F369E">
                        <w:tc>
                          <w:tcPr>
                            <w:tcW w:w="4395" w:type="dxa"/>
                          </w:tcPr>
                          <w:p w14:paraId="6BA60D9A" w14:textId="2C5507F7" w:rsidR="008F369E" w:rsidRPr="00BD64EB" w:rsidRDefault="008F369E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Recurso de Revisión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5C64B5CE" w14:textId="01B3BCD6" w:rsidR="008F369E" w:rsidRPr="00BD64EB" w:rsidRDefault="008F369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</w:tr>
                      <w:tr w:rsidR="008F369E" w:rsidRPr="00BD64EB" w14:paraId="467FD2F7" w14:textId="77777777" w:rsidTr="008F369E">
                        <w:tc>
                          <w:tcPr>
                            <w:tcW w:w="4395" w:type="dxa"/>
                          </w:tcPr>
                          <w:p w14:paraId="49DFC900" w14:textId="7075371A" w:rsidR="008F369E" w:rsidRDefault="008F369E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Solicitudes de Información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292EE1D6" w14:textId="0E2A1D20" w:rsidR="008F369E" w:rsidRPr="00BD64EB" w:rsidRDefault="008F369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</w:tr>
                      <w:tr w:rsidR="008F369E" w:rsidRPr="00BD64EB" w14:paraId="7F4D46B8" w14:textId="77777777" w:rsidTr="008F369E">
                        <w:tc>
                          <w:tcPr>
                            <w:tcW w:w="4395" w:type="dxa"/>
                          </w:tcPr>
                          <w:p w14:paraId="30CD398E" w14:textId="115CBD1A" w:rsidR="008F369E" w:rsidRDefault="008F369E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Verificación Vinculante 2020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4C25BEAC" w14:textId="2DCF3868" w:rsidR="008F369E" w:rsidRPr="00BD64EB" w:rsidRDefault="008F369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</w:tr>
                    </w:tbl>
                    <w:p w14:paraId="529F0910" w14:textId="77777777" w:rsidR="00D74E86" w:rsidRDefault="00D74E86" w:rsidP="00D74E86"/>
                  </w:txbxContent>
                </v:textbox>
              </v:shape>
            </w:pict>
          </mc:Fallback>
        </mc:AlternateContent>
      </w:r>
      <w:r w:rsidR="00D3735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7FA6D2" wp14:editId="392EEBD7">
                <wp:simplePos x="0" y="0"/>
                <wp:positionH relativeFrom="margin">
                  <wp:posOffset>3385494</wp:posOffset>
                </wp:positionH>
                <wp:positionV relativeFrom="paragraph">
                  <wp:posOffset>1762760</wp:posOffset>
                </wp:positionV>
                <wp:extent cx="4357817" cy="411480"/>
                <wp:effectExtent l="0" t="0" r="0" b="762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7817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4110B" w14:textId="0CAB23AB" w:rsidR="00E91D1C" w:rsidRPr="00BE5383" w:rsidRDefault="00D3735B" w:rsidP="00E91D1C">
                            <w:p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16"/>
                                <w:szCs w:val="16"/>
                              </w:rPr>
                            </w:pPr>
                            <w:r w:rsidRPr="008F369E">
                              <w:rPr>
                                <w:rFonts w:ascii="Montserrat" w:hAnsi="Montserrat"/>
                                <w:b/>
                                <w:color w:val="0F4B43"/>
                                <w:sz w:val="40"/>
                                <w:szCs w:val="40"/>
                              </w:rPr>
                              <w:t>COMITÉ DE TRANSPARENCIA</w:t>
                            </w:r>
                          </w:p>
                          <w:p w14:paraId="6B33A5D2" w14:textId="24BBA204" w:rsidR="00E91D1C" w:rsidRPr="00BE5383" w:rsidRDefault="00E91D1C" w:rsidP="00E91D1C">
                            <w:pPr>
                              <w:spacing w:after="0"/>
                              <w:jc w:val="both"/>
                              <w:rPr>
                                <w:rFonts w:ascii="Montserrat" w:hAnsi="Montserrat"/>
                                <w:color w:val="0F4B4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FA6D2" id="Cuadro de texto 12" o:spid="_x0000_s1030" type="#_x0000_t202" style="position:absolute;margin-left:266.55pt;margin-top:138.8pt;width:343.15pt;height:32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" filled="f" stroked="f" strokeweight=".5pt">
                <v:textbox>
                  <w:txbxContent>
                    <w:p w14:paraId="3984110B" w14:textId="0CAB23AB" w:rsidR="00E91D1C" w:rsidRPr="00BE5383" w:rsidRDefault="00D3735B" w:rsidP="00E91D1C">
                      <w:pPr>
                        <w:spacing w:after="0"/>
                        <w:rPr>
                          <w:rFonts w:ascii="Montserrat" w:hAnsi="Montserrat"/>
                          <w:color w:val="0F4B43"/>
                          <w:sz w:val="16"/>
                          <w:szCs w:val="16"/>
                        </w:rPr>
                      </w:pPr>
                      <w:r w:rsidRPr="008F369E">
                        <w:rPr>
                          <w:rFonts w:ascii="Montserrat" w:hAnsi="Montserrat"/>
                          <w:b/>
                          <w:color w:val="0F4B43"/>
                          <w:sz w:val="40"/>
                          <w:szCs w:val="40"/>
                        </w:rPr>
                        <w:t>COMITÉ DE TRANSPARENCIA</w:t>
                      </w:r>
                    </w:p>
                    <w:p w14:paraId="6B33A5D2" w14:textId="24BBA204" w:rsidR="00E91D1C" w:rsidRPr="00BE5383" w:rsidRDefault="00E91D1C" w:rsidP="00E91D1C">
                      <w:pPr>
                        <w:spacing w:after="0"/>
                        <w:jc w:val="both"/>
                        <w:rPr>
                          <w:rFonts w:ascii="Montserrat" w:hAnsi="Montserrat"/>
                          <w:color w:val="0F4B43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35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A29A9" wp14:editId="13671B07">
                <wp:simplePos x="0" y="0"/>
                <wp:positionH relativeFrom="page">
                  <wp:posOffset>3113903</wp:posOffset>
                </wp:positionH>
                <wp:positionV relativeFrom="paragraph">
                  <wp:posOffset>288547</wp:posOffset>
                </wp:positionV>
                <wp:extent cx="4545210" cy="1326292"/>
                <wp:effectExtent l="19050" t="19050" r="27305" b="266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210" cy="1326292"/>
                        </a:xfrm>
                        <a:prstGeom prst="rect">
                          <a:avLst/>
                        </a:prstGeom>
                        <a:solidFill>
                          <a:srgbClr val="C28E48"/>
                        </a:solidFill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p w14:paraId="604F34EE" w14:textId="061CDD64" w:rsidR="00D3735B" w:rsidRPr="004223A5" w:rsidRDefault="00D3735B" w:rsidP="004223A5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 w:rsidRPr="004223A5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RECURSO DE REVISIÓN</w:t>
                            </w:r>
                          </w:p>
                          <w:p w14:paraId="33B27B69" w14:textId="7E0E65A0" w:rsidR="00D3735B" w:rsidRPr="004223A5" w:rsidRDefault="00D3735B" w:rsidP="004223A5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23A5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008F369E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20</w:t>
                            </w:r>
                            <w:r w:rsidR="007C4FD1" w:rsidRPr="008F369E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20</w:t>
                            </w:r>
                            <w:r w:rsidRPr="004223A5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23A5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la AEM</w:t>
                            </w:r>
                            <w:r w:rsidRPr="004223A5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23A5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atendió</w:t>
                            </w:r>
                            <w:r w:rsidRPr="004223A5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4485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4</w:t>
                            </w:r>
                            <w:r w:rsidRPr="004223A5">
                              <w:rPr>
                                <w:rFonts w:ascii="Montserrat" w:hAnsi="Montserrat"/>
                                <w:b/>
                                <w:color w:val="0F4B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23A5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Recurso</w:t>
                            </w:r>
                            <w:r w:rsidR="004223A5" w:rsidRPr="004223A5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s</w:t>
                            </w:r>
                            <w:r w:rsidRPr="004223A5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 xml:space="preserve"> de Revisión</w:t>
                            </w:r>
                            <w:r w:rsidRPr="004223A5">
                              <w:rPr>
                                <w:rFonts w:ascii="Montserrat" w:hAnsi="Montserrat"/>
                                <w:color w:val="0F4B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23A5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para </w:t>
                            </w:r>
                            <w:r w:rsidR="004223A5" w:rsidRPr="004223A5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r w:rsidRPr="004223A5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cual</w:t>
                            </w:r>
                            <w:r w:rsidR="004223A5" w:rsidRPr="004223A5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es</w:t>
                            </w:r>
                            <w:r w:rsidRPr="004223A5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el INAI emitió resolución en sentido de</w:t>
                            </w:r>
                            <w:r w:rsidRPr="004223A5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23A5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 xml:space="preserve">SOBRESEE </w:t>
                            </w:r>
                            <w:r w:rsidR="004223A5" w:rsidRPr="004223A5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30"/>
                              </w:rPr>
                              <w:t>y</w:t>
                            </w:r>
                            <w:r w:rsidR="004223A5">
                              <w:rPr>
                                <w:rFonts w:ascii="Montserrat" w:hAnsi="Montserrat"/>
                                <w:color w:val="0F4B4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223A5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REVOCA</w:t>
                            </w:r>
                            <w:r w:rsidR="004223A5" w:rsidRPr="004223A5">
                              <w:rPr>
                                <w:rFonts w:ascii="Montserrat" w:hAnsi="Montserrat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4223A5" w:rsidRPr="004223A5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30"/>
                              </w:rPr>
                              <w:t xml:space="preserve">uno de ellos aun </w:t>
                            </w:r>
                            <w:proofErr w:type="spellStart"/>
                            <w:r w:rsidR="004223A5" w:rsidRPr="004223A5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30"/>
                              </w:rPr>
                              <w:t>esta</w:t>
                            </w:r>
                            <w:proofErr w:type="spellEnd"/>
                            <w:r w:rsidR="004223A5" w:rsidRPr="004223A5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30"/>
                              </w:rPr>
                              <w:t xml:space="preserve"> en proyecto de resolución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29A9" id="Cuadro de texto 2" o:spid="_x0000_s1031" type="#_x0000_t202" style="position:absolute;margin-left:245.2pt;margin-top:22.7pt;width:357.9pt;height:104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" fillcolor="#c28e48" strokecolor="#c28e48" strokeweight="3pt">
                <v:textbox>
                  <w:txbxContent>
                    <w:p w14:paraId="604F34EE" w14:textId="061CDD64" w:rsidR="00D3735B" w:rsidRPr="004223A5" w:rsidRDefault="00D3735B" w:rsidP="004223A5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 w:rsidRPr="004223A5"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  <w:szCs w:val="24"/>
                        </w:rPr>
                        <w:t>RECURSO DE REVISIÓN</w:t>
                      </w:r>
                    </w:p>
                    <w:p w14:paraId="33B27B69" w14:textId="7E0E65A0" w:rsidR="00D3735B" w:rsidRPr="004223A5" w:rsidRDefault="00D3735B" w:rsidP="004223A5">
                      <w:pPr>
                        <w:spacing w:after="0"/>
                        <w:jc w:val="center"/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23A5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 xml:space="preserve">En </w:t>
                      </w:r>
                      <w:r w:rsidRPr="008F369E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20</w:t>
                      </w:r>
                      <w:r w:rsidR="007C4FD1" w:rsidRPr="008F369E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20</w:t>
                      </w:r>
                      <w:r w:rsidRPr="004223A5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4223A5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la AEM</w:t>
                      </w:r>
                      <w:r w:rsidRPr="004223A5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4223A5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atendió</w:t>
                      </w:r>
                      <w:r w:rsidRPr="004223A5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24485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4</w:t>
                      </w:r>
                      <w:r w:rsidRPr="004223A5">
                        <w:rPr>
                          <w:rFonts w:ascii="Montserrat" w:hAnsi="Montserrat"/>
                          <w:b/>
                          <w:color w:val="0F4B43"/>
                          <w:sz w:val="24"/>
                          <w:szCs w:val="24"/>
                        </w:rPr>
                        <w:t xml:space="preserve"> </w:t>
                      </w:r>
                      <w:r w:rsidRPr="004223A5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Recurso</w:t>
                      </w:r>
                      <w:r w:rsidR="004223A5" w:rsidRPr="004223A5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s</w:t>
                      </w:r>
                      <w:r w:rsidRPr="004223A5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 xml:space="preserve"> de Revisión</w:t>
                      </w:r>
                      <w:r w:rsidRPr="004223A5">
                        <w:rPr>
                          <w:rFonts w:ascii="Montserrat" w:hAnsi="Montserrat"/>
                          <w:color w:val="0F4B43"/>
                          <w:sz w:val="24"/>
                          <w:szCs w:val="24"/>
                        </w:rPr>
                        <w:t xml:space="preserve"> </w:t>
                      </w:r>
                      <w:r w:rsidRPr="004223A5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 xml:space="preserve">para </w:t>
                      </w:r>
                      <w:r w:rsidR="004223A5" w:rsidRPr="004223A5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 xml:space="preserve">los </w:t>
                      </w:r>
                      <w:r w:rsidRPr="004223A5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cual</w:t>
                      </w:r>
                      <w:r w:rsidR="004223A5" w:rsidRPr="004223A5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es</w:t>
                      </w:r>
                      <w:r w:rsidRPr="004223A5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 xml:space="preserve"> el INAI emitió resolución en sentido de</w:t>
                      </w:r>
                      <w:r w:rsidRPr="004223A5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223A5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 xml:space="preserve">SOBRESEE </w:t>
                      </w:r>
                      <w:r w:rsidR="004223A5" w:rsidRPr="004223A5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30"/>
                        </w:rPr>
                        <w:t>y</w:t>
                      </w:r>
                      <w:r w:rsidR="004223A5">
                        <w:rPr>
                          <w:rFonts w:ascii="Montserrat" w:hAnsi="Montserrat"/>
                          <w:color w:val="0F4B43"/>
                          <w:sz w:val="30"/>
                          <w:szCs w:val="30"/>
                        </w:rPr>
                        <w:t xml:space="preserve"> </w:t>
                      </w:r>
                      <w:r w:rsidR="004223A5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REVOCA</w:t>
                      </w:r>
                      <w:r w:rsidR="004223A5" w:rsidRPr="004223A5">
                        <w:rPr>
                          <w:rFonts w:ascii="Montserrat" w:hAnsi="Montserrat"/>
                          <w:color w:val="FFFFFF" w:themeColor="background1"/>
                          <w:sz w:val="30"/>
                          <w:szCs w:val="30"/>
                        </w:rPr>
                        <w:t xml:space="preserve">, </w:t>
                      </w:r>
                      <w:r w:rsidR="004223A5" w:rsidRPr="004223A5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30"/>
                        </w:rPr>
                        <w:t>uno de ellos aun esta en proyecto de resolución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D64EB" w:rsidRPr="00B1739C" w:rsidSect="00905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689E" w14:textId="77777777" w:rsidR="00C84B3D" w:rsidRDefault="00C84B3D" w:rsidP="0090500E">
      <w:pPr>
        <w:spacing w:after="0" w:line="240" w:lineRule="auto"/>
      </w:pPr>
      <w:r>
        <w:separator/>
      </w:r>
    </w:p>
  </w:endnote>
  <w:endnote w:type="continuationSeparator" w:id="0">
    <w:p w14:paraId="17CC17C4" w14:textId="77777777" w:rsidR="00C84B3D" w:rsidRDefault="00C84B3D" w:rsidP="0090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A5C9" w14:textId="77777777" w:rsidR="008F369E" w:rsidRDefault="008F36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F763" w14:textId="77777777" w:rsidR="008F369E" w:rsidRDefault="008F36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5F2F" w14:textId="77777777" w:rsidR="008F369E" w:rsidRDefault="008F36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5D17" w14:textId="77777777" w:rsidR="00C84B3D" w:rsidRDefault="00C84B3D" w:rsidP="0090500E">
      <w:pPr>
        <w:spacing w:after="0" w:line="240" w:lineRule="auto"/>
      </w:pPr>
      <w:r>
        <w:separator/>
      </w:r>
    </w:p>
  </w:footnote>
  <w:footnote w:type="continuationSeparator" w:id="0">
    <w:p w14:paraId="77040EE5" w14:textId="77777777" w:rsidR="00C84B3D" w:rsidRDefault="00C84B3D" w:rsidP="0090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ED0" w14:textId="5CAA3213" w:rsidR="00D225AC" w:rsidRDefault="00000000">
    <w:pPr>
      <w:pStyle w:val="Encabezado"/>
    </w:pPr>
    <w:r>
      <w:rPr>
        <w:noProof/>
      </w:rPr>
      <w:pict w14:anchorId="084FFC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01188" o:spid="_x0000_s103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STADISTICAS AEM PLANTIL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B2C0" w14:textId="7F88A081" w:rsidR="00D225AC" w:rsidRDefault="00000000">
    <w:pPr>
      <w:pStyle w:val="Encabezado"/>
    </w:pPr>
    <w:r>
      <w:rPr>
        <w:noProof/>
      </w:rPr>
      <w:pict w14:anchorId="37827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01189" o:spid="_x0000_s103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STADISTICAS AEM PLANTILL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1E2A" w14:textId="4AAB4836" w:rsidR="00D225AC" w:rsidRDefault="00000000">
    <w:pPr>
      <w:pStyle w:val="Encabezado"/>
    </w:pPr>
    <w:r>
      <w:rPr>
        <w:noProof/>
      </w:rPr>
      <w:pict w14:anchorId="27FE2A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01187" o:spid="_x0000_s103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STADISTICAS AEM PLANTILL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0E"/>
    <w:rsid w:val="00061857"/>
    <w:rsid w:val="001462C4"/>
    <w:rsid w:val="0040681B"/>
    <w:rsid w:val="00413871"/>
    <w:rsid w:val="004223A5"/>
    <w:rsid w:val="00735334"/>
    <w:rsid w:val="007C4FD1"/>
    <w:rsid w:val="008813AB"/>
    <w:rsid w:val="008F369E"/>
    <w:rsid w:val="0090500E"/>
    <w:rsid w:val="009F0225"/>
    <w:rsid w:val="00AC6664"/>
    <w:rsid w:val="00B1044E"/>
    <w:rsid w:val="00B1739C"/>
    <w:rsid w:val="00BD64EB"/>
    <w:rsid w:val="00BE5383"/>
    <w:rsid w:val="00C24485"/>
    <w:rsid w:val="00C84B3D"/>
    <w:rsid w:val="00CB5D9C"/>
    <w:rsid w:val="00D225AC"/>
    <w:rsid w:val="00D3735B"/>
    <w:rsid w:val="00D74E86"/>
    <w:rsid w:val="00E6736B"/>
    <w:rsid w:val="00E91D1C"/>
    <w:rsid w:val="00ED5AB9"/>
    <w:rsid w:val="00ED6AF7"/>
    <w:rsid w:val="00E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5DD87"/>
  <w15:chartTrackingRefBased/>
  <w15:docId w15:val="{AA4E62DA-1904-4A4A-8FA3-D1EB8961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00E"/>
  </w:style>
  <w:style w:type="paragraph" w:styleId="Piedepgina">
    <w:name w:val="footer"/>
    <w:basedOn w:val="Normal"/>
    <w:link w:val="PiedepginaCar"/>
    <w:uiPriority w:val="99"/>
    <w:unhideWhenUsed/>
    <w:rsid w:val="00905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00E"/>
  </w:style>
  <w:style w:type="table" w:styleId="Tablaconcuadrcula">
    <w:name w:val="Table Grid"/>
    <w:basedOn w:val="Tablanormal"/>
    <w:uiPriority w:val="39"/>
    <w:rsid w:val="00CB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SOLICITUDES RECIBIDAS</a:t>
            </a:r>
            <a:b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</a:br>
            <a: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 DURANTE</a:t>
            </a:r>
            <a:b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</a:br>
            <a: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 TODO EL AÑO</a:t>
            </a:r>
          </a:p>
        </c:rich>
      </c:tx>
      <c:layout>
        <c:manualLayout>
          <c:xMode val="edge"/>
          <c:yMode val="edge"/>
          <c:x val="0.11183047421233792"/>
          <c:y val="3.96826085824167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20" normalizeH="0" baseline="0">
              <a:solidFill>
                <a:schemeClr val="accent3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DE INFORMACIÓN DE TODO EL AÑO</c:v>
                </c:pt>
              </c:strCache>
            </c:strRef>
          </c:tx>
          <c:spPr>
            <a:solidFill>
              <a:srgbClr val="0F4B4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</c:f>
              <c:numCache>
                <c:formatCode>General</c:formatCode>
                <c:ptCount val="1"/>
                <c:pt idx="0">
                  <c:v>2020</c:v>
                </c:pt>
              </c:numCache>
            </c:numRef>
          </c:cat>
          <c:val>
            <c:numRef>
              <c:f>Hoja1!$B$2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97-424A-BECC-A715554803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36313344"/>
        <c:axId val="1559098768"/>
      </c:barChart>
      <c:catAx>
        <c:axId val="16363133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59098768"/>
        <c:crosses val="autoZero"/>
        <c:auto val="1"/>
        <c:lblAlgn val="ctr"/>
        <c:lblOffset val="100"/>
        <c:noMultiLvlLbl val="0"/>
      </c:catAx>
      <c:valAx>
        <c:axId val="1559098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3631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SOLICITUDES recibidas POR MES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20" normalizeH="0" baseline="0">
              <a:solidFill>
                <a:schemeClr val="accent3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DE INFORMACIÓN POR MES</c:v>
                </c:pt>
              </c:strCache>
            </c:strRef>
          </c:tx>
          <c:spPr>
            <a:solidFill>
              <a:srgbClr val="0F4B4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13</c:v>
                </c:pt>
                <c:pt idx="1">
                  <c:v>4</c:v>
                </c:pt>
                <c:pt idx="2">
                  <c:v>11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26</c:v>
                </c:pt>
                <c:pt idx="8">
                  <c:v>17</c:v>
                </c:pt>
                <c:pt idx="9">
                  <c:v>9</c:v>
                </c:pt>
                <c:pt idx="10">
                  <c:v>12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7D-4CAC-8925-F018D1A14B5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36313344"/>
        <c:axId val="1559098768"/>
      </c:barChart>
      <c:catAx>
        <c:axId val="1636313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s-MX"/>
          </a:p>
        </c:txPr>
        <c:crossAx val="1559098768"/>
        <c:crosses val="autoZero"/>
        <c:auto val="1"/>
        <c:lblAlgn val="ctr"/>
        <c:lblOffset val="100"/>
        <c:noMultiLvlLbl val="0"/>
      </c:catAx>
      <c:valAx>
        <c:axId val="1559098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3631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SOLICITUDES RECIBIDAS </a:t>
            </a:r>
            <a:br>
              <a:rPr lang="en-US" sz="10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</a:br>
            <a:r>
              <a:rPr lang="en-US" sz="10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POR TIPO DE SOLICITUD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accent3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RECIBIDAS POR TIPO DE SOLICITUD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rgbClr val="C28E48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C11-4CA2-ACD2-0C31CE055662}"/>
              </c:ext>
            </c:extLst>
          </c:dPt>
          <c:dPt>
            <c:idx val="1"/>
            <c:bubble3D val="0"/>
            <c:spPr>
              <a:solidFill>
                <a:srgbClr val="0F4B4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C11-4CA2-ACD2-0C31CE055662}"/>
              </c:ext>
            </c:extLst>
          </c:dPt>
          <c:cat>
            <c:strRef>
              <c:f>Hoja1!$A$2:$A$3</c:f>
              <c:strCache>
                <c:ptCount val="2"/>
                <c:pt idx="0">
                  <c:v>DATOS PERSONALES (1)</c:v>
                </c:pt>
                <c:pt idx="1">
                  <c:v>INFORMACIÓN PÚBLICA (95)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</c:v>
                </c:pt>
                <c:pt idx="1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11-4CA2-ACD2-0C31CE055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accent3">
                  <a:lumMod val="50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Martínez Hidalgo</dc:creator>
  <cp:keywords/>
  <dc:description/>
  <cp:lastModifiedBy>Daniela Isabel  Zamudio Escutia</cp:lastModifiedBy>
  <cp:revision>2</cp:revision>
  <cp:lastPrinted>2023-08-03T05:20:00Z</cp:lastPrinted>
  <dcterms:created xsi:type="dcterms:W3CDTF">2023-08-30T22:15:00Z</dcterms:created>
  <dcterms:modified xsi:type="dcterms:W3CDTF">2023-08-30T22:15:00Z</dcterms:modified>
</cp:coreProperties>
</file>